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59C23" w14:textId="6730B7E9" w:rsidR="00914A17" w:rsidRDefault="00914A17" w:rsidP="00914A17">
      <w:pPr>
        <w:tabs>
          <w:tab w:val="num" w:pos="720"/>
        </w:tabs>
        <w:ind w:left="720" w:hanging="360"/>
        <w:jc w:val="right"/>
      </w:pPr>
      <w:r>
        <w:rPr>
          <w:rFonts w:hint="eastAsia"/>
        </w:rPr>
        <w:t>2</w:t>
      </w:r>
      <w:r>
        <w:t>020.12.19</w:t>
      </w:r>
    </w:p>
    <w:p w14:paraId="530C5836" w14:textId="77777777" w:rsidR="00914A17" w:rsidRDefault="00914A17" w:rsidP="00914A17">
      <w:pPr>
        <w:tabs>
          <w:tab w:val="num" w:pos="720"/>
        </w:tabs>
        <w:ind w:left="720" w:hanging="360"/>
        <w:jc w:val="right"/>
      </w:pPr>
    </w:p>
    <w:p w14:paraId="6E54E482" w14:textId="438A6FF3" w:rsidR="00BB65BB" w:rsidRDefault="00BB65BB" w:rsidP="00BB65BB">
      <w:pPr>
        <w:tabs>
          <w:tab w:val="num" w:pos="720"/>
        </w:tabs>
        <w:ind w:left="720" w:hanging="360"/>
        <w:jc w:val="center"/>
      </w:pPr>
      <w:r>
        <w:rPr>
          <w:rFonts w:hint="eastAsia"/>
        </w:rPr>
        <w:t>東京海上ホールディングスにおける企業価値創造</w:t>
      </w:r>
    </w:p>
    <w:p w14:paraId="5D9B6C37" w14:textId="012B3CA9" w:rsidR="00BB65BB" w:rsidRDefault="00BB65BB" w:rsidP="00BB65BB">
      <w:pPr>
        <w:tabs>
          <w:tab w:val="num" w:pos="720"/>
        </w:tabs>
        <w:ind w:left="720" w:hanging="360"/>
        <w:jc w:val="center"/>
      </w:pPr>
      <w:r>
        <w:rPr>
          <w:rFonts w:hint="eastAsia"/>
        </w:rPr>
        <w:t>Fグループ</w:t>
      </w:r>
    </w:p>
    <w:p w14:paraId="6D63C5BD" w14:textId="6DF08810" w:rsidR="00BB65BB" w:rsidRDefault="00BB65BB" w:rsidP="00BB65BB">
      <w:pPr>
        <w:tabs>
          <w:tab w:val="num" w:pos="720"/>
        </w:tabs>
        <w:ind w:left="720" w:hanging="360"/>
      </w:pPr>
    </w:p>
    <w:p w14:paraId="1EFE8B3F" w14:textId="014CAF39" w:rsidR="00BB65BB" w:rsidRDefault="00BB65BB" w:rsidP="00BB65BB">
      <w:pPr>
        <w:tabs>
          <w:tab w:val="num" w:pos="720"/>
        </w:tabs>
        <w:ind w:left="720" w:hanging="360"/>
      </w:pPr>
    </w:p>
    <w:p w14:paraId="23B57CFE" w14:textId="06D59BA5" w:rsidR="00BB65BB" w:rsidRDefault="00BB65BB" w:rsidP="00BB65BB">
      <w:pPr>
        <w:numPr>
          <w:ilvl w:val="0"/>
          <w:numId w:val="1"/>
        </w:numPr>
      </w:pPr>
      <w:r w:rsidRPr="00BB65BB">
        <w:t>1990</w:t>
      </w:r>
      <w:r w:rsidRPr="00BB65BB">
        <w:rPr>
          <w:rFonts w:hint="eastAsia"/>
        </w:rPr>
        <w:t>年代後半前後の東京海上のファンダメンタルズからみた経営課題とその選択肢。</w:t>
      </w:r>
    </w:p>
    <w:p w14:paraId="4BC0B526" w14:textId="19249EF4" w:rsidR="00D76F10" w:rsidRDefault="00D76F10" w:rsidP="00D76F10">
      <w:pPr>
        <w:numPr>
          <w:ilvl w:val="1"/>
          <w:numId w:val="1"/>
        </w:numPr>
      </w:pPr>
      <w:r>
        <w:rPr>
          <w:rFonts w:hint="eastAsia"/>
        </w:rPr>
        <w:t>当時：地震ぐらいか。気候変動や自動車の動きなど予想できてはいなかったのでは。</w:t>
      </w:r>
    </w:p>
    <w:p w14:paraId="75CA1A06" w14:textId="7BE3E33C" w:rsidR="00BB65BB" w:rsidRDefault="00BB65BB" w:rsidP="00BB65BB">
      <w:pPr>
        <w:numPr>
          <w:ilvl w:val="1"/>
          <w:numId w:val="1"/>
        </w:numPr>
      </w:pPr>
      <w:r w:rsidRPr="00BB65BB">
        <w:t>1990</w:t>
      </w:r>
      <w:r w:rsidRPr="00BB65BB">
        <w:rPr>
          <w:rFonts w:hint="eastAsia"/>
        </w:rPr>
        <w:t>年代後半から新世紀における保険業界の経営環境（成長機会、競争環境等）</w:t>
      </w:r>
    </w:p>
    <w:p w14:paraId="06D08AD6" w14:textId="2FADDA00" w:rsidR="00BB65BB" w:rsidRDefault="00BB65BB" w:rsidP="00BB65BB">
      <w:pPr>
        <w:numPr>
          <w:ilvl w:val="2"/>
          <w:numId w:val="1"/>
        </w:numPr>
      </w:pPr>
      <w:r>
        <w:rPr>
          <w:rFonts w:hint="eastAsia"/>
        </w:rPr>
        <w:t>市場の成熟、将来的な人口減、戸建て着工減</w:t>
      </w:r>
    </w:p>
    <w:p w14:paraId="6F3F58FE" w14:textId="3DF5A9E5" w:rsidR="00BB65BB" w:rsidRPr="00BB65BB" w:rsidRDefault="00BB65BB" w:rsidP="00D76F10">
      <w:pPr>
        <w:ind w:left="2160"/>
      </w:pPr>
      <w:r>
        <w:rPr>
          <w:rFonts w:hint="eastAsia"/>
        </w:rPr>
        <w:t>⇒パイの奪い合い市場が想定</w:t>
      </w:r>
    </w:p>
    <w:p w14:paraId="10B63D7E" w14:textId="709174C6" w:rsidR="00BB65BB" w:rsidRDefault="00BB65BB" w:rsidP="00BB65BB">
      <w:pPr>
        <w:numPr>
          <w:ilvl w:val="1"/>
          <w:numId w:val="1"/>
        </w:numPr>
      </w:pPr>
      <w:r w:rsidRPr="00BB65BB">
        <w:rPr>
          <w:rFonts w:hint="eastAsia"/>
        </w:rPr>
        <w:t>保険の自由化をめぐる影響</w:t>
      </w:r>
    </w:p>
    <w:p w14:paraId="1739B310" w14:textId="6355063B" w:rsidR="00BB65BB" w:rsidRDefault="00BB65BB" w:rsidP="00BB65BB">
      <w:pPr>
        <w:numPr>
          <w:ilvl w:val="2"/>
          <w:numId w:val="1"/>
        </w:numPr>
      </w:pPr>
      <w:r>
        <w:rPr>
          <w:rFonts w:hint="eastAsia"/>
        </w:rPr>
        <w:t>金融自由化</w:t>
      </w:r>
    </w:p>
    <w:p w14:paraId="1A42AE45" w14:textId="16692D85" w:rsidR="00BB65BB" w:rsidRDefault="00BB65BB" w:rsidP="00BB65BB">
      <w:pPr>
        <w:numPr>
          <w:ilvl w:val="2"/>
          <w:numId w:val="1"/>
        </w:numPr>
      </w:pPr>
      <w:r>
        <w:rPr>
          <w:rFonts w:hint="eastAsia"/>
        </w:rPr>
        <w:t>生損保相互参入</w:t>
      </w:r>
    </w:p>
    <w:p w14:paraId="5C03F4A6" w14:textId="4AA627E3" w:rsidR="00BB65BB" w:rsidRPr="00BB65BB" w:rsidRDefault="00BB65BB" w:rsidP="00BB65BB">
      <w:pPr>
        <w:numPr>
          <w:ilvl w:val="2"/>
          <w:numId w:val="1"/>
        </w:numPr>
      </w:pPr>
      <w:r>
        <w:rPr>
          <w:rFonts w:hint="eastAsia"/>
        </w:rPr>
        <w:t>インターネット保険、窓口自由化</w:t>
      </w:r>
    </w:p>
    <w:p w14:paraId="3A61C7B1" w14:textId="60B88FC8" w:rsidR="00BB65BB" w:rsidRDefault="00BB65BB" w:rsidP="00BB65BB">
      <w:pPr>
        <w:numPr>
          <w:ilvl w:val="1"/>
          <w:numId w:val="1"/>
        </w:numPr>
      </w:pPr>
      <w:r w:rsidRPr="00BB65BB">
        <w:rPr>
          <w:rFonts w:hint="eastAsia"/>
        </w:rPr>
        <w:t>事業ポートフォリオの状況　等</w:t>
      </w:r>
    </w:p>
    <w:p w14:paraId="25DFC344" w14:textId="4DBD8F34" w:rsidR="00BB65BB" w:rsidRDefault="00BB65BB" w:rsidP="00914A17">
      <w:pPr>
        <w:numPr>
          <w:ilvl w:val="2"/>
          <w:numId w:val="1"/>
        </w:numPr>
      </w:pPr>
      <w:r>
        <w:rPr>
          <w:rFonts w:hint="eastAsia"/>
        </w:rPr>
        <w:t>商品</w:t>
      </w:r>
    </w:p>
    <w:p w14:paraId="7C2B8AB0" w14:textId="21039EA3" w:rsidR="00BB65BB" w:rsidRPr="00BB65BB" w:rsidRDefault="00914A17" w:rsidP="00914A17">
      <w:pPr>
        <w:numPr>
          <w:ilvl w:val="2"/>
          <w:numId w:val="1"/>
        </w:numPr>
      </w:pPr>
      <w:r>
        <w:rPr>
          <w:rFonts w:hint="eastAsia"/>
        </w:rPr>
        <w:t>地域</w:t>
      </w:r>
    </w:p>
    <w:p w14:paraId="7051907A" w14:textId="724D4883" w:rsidR="00BB65BB" w:rsidRPr="00BB65BB" w:rsidRDefault="00BB65BB" w:rsidP="00BB65BB">
      <w:pPr>
        <w:numPr>
          <w:ilvl w:val="1"/>
          <w:numId w:val="1"/>
        </w:numPr>
      </w:pPr>
      <w:r w:rsidRPr="00BB65BB">
        <w:rPr>
          <w:rFonts w:hint="eastAsia"/>
        </w:rPr>
        <w:t>東京海上</w:t>
      </w:r>
      <w:r w:rsidRPr="00BB65BB">
        <w:t>HD</w:t>
      </w:r>
      <w:r w:rsidRPr="00BB65BB">
        <w:rPr>
          <w:rFonts w:hint="eastAsia"/>
        </w:rPr>
        <w:t>が</w:t>
      </w:r>
      <w:r w:rsidRPr="00BB65BB">
        <w:t>M&amp;A</w:t>
      </w:r>
      <w:r w:rsidRPr="00BB65BB">
        <w:rPr>
          <w:rFonts w:hint="eastAsia"/>
        </w:rPr>
        <w:t>戦略を進めた理由、タイミング、ターゲットの特徴</w:t>
      </w:r>
    </w:p>
    <w:p w14:paraId="4E704B59" w14:textId="19E3BCD5" w:rsidR="00BB65BB" w:rsidRDefault="00BB65BB" w:rsidP="00BB65BB">
      <w:pPr>
        <w:numPr>
          <w:ilvl w:val="1"/>
          <w:numId w:val="1"/>
        </w:numPr>
      </w:pPr>
      <w:r w:rsidRPr="00BB65BB">
        <w:rPr>
          <w:rFonts w:hint="eastAsia"/>
        </w:rPr>
        <w:t>なぜ東京海上</w:t>
      </w:r>
      <w:r w:rsidRPr="00BB65BB">
        <w:t>HD</w:t>
      </w:r>
      <w:r w:rsidRPr="00BB65BB">
        <w:rPr>
          <w:rFonts w:hint="eastAsia"/>
        </w:rPr>
        <w:t>は</w:t>
      </w:r>
      <w:r w:rsidRPr="00BB65BB">
        <w:t>M&amp;A</w:t>
      </w:r>
      <w:r w:rsidRPr="00BB65BB">
        <w:rPr>
          <w:rFonts w:hint="eastAsia"/>
        </w:rPr>
        <w:t>を進める必要があったのか。</w:t>
      </w:r>
    </w:p>
    <w:p w14:paraId="50CFF8F1" w14:textId="631C1591" w:rsidR="00BB65BB" w:rsidRDefault="00D76F10" w:rsidP="00D76F10">
      <w:pPr>
        <w:numPr>
          <w:ilvl w:val="2"/>
          <w:numId w:val="1"/>
        </w:numPr>
      </w:pPr>
      <w:r>
        <w:rPr>
          <w:rFonts w:hint="eastAsia"/>
        </w:rPr>
        <w:t>日本市場：</w:t>
      </w:r>
      <w:r w:rsidR="00BB65BB">
        <w:rPr>
          <w:rFonts w:hint="eastAsia"/>
        </w:rPr>
        <w:t>市場激化を予想、成長機会限定</w:t>
      </w:r>
    </w:p>
    <w:p w14:paraId="47743810" w14:textId="0679F018" w:rsidR="00D76F10" w:rsidRDefault="00D76F10" w:rsidP="00D76F10">
      <w:pPr>
        <w:numPr>
          <w:ilvl w:val="2"/>
          <w:numId w:val="1"/>
        </w:numPr>
      </w:pPr>
      <w:r>
        <w:rPr>
          <w:rFonts w:hint="eastAsia"/>
        </w:rPr>
        <w:t>海外における規制への対応（時間を買った）</w:t>
      </w:r>
    </w:p>
    <w:p w14:paraId="150002AD" w14:textId="6FD6DF6D" w:rsidR="00BB65BB" w:rsidRPr="00BB65BB" w:rsidRDefault="00914A17" w:rsidP="00D76F10">
      <w:pPr>
        <w:numPr>
          <w:ilvl w:val="2"/>
          <w:numId w:val="1"/>
        </w:numPr>
      </w:pPr>
      <w:r>
        <w:rPr>
          <w:rFonts w:hint="eastAsia"/>
        </w:rPr>
        <w:t>他の日本企業に先行して、よい海外の企業を取り込み</w:t>
      </w:r>
    </w:p>
    <w:p w14:paraId="45076C66" w14:textId="2C178D16" w:rsidR="00BB65BB" w:rsidRDefault="00BB65BB" w:rsidP="00BB65BB">
      <w:pPr>
        <w:numPr>
          <w:ilvl w:val="1"/>
          <w:numId w:val="1"/>
        </w:numPr>
      </w:pPr>
      <w:r w:rsidRPr="00BB65BB">
        <w:rPr>
          <w:rFonts w:hint="eastAsia"/>
        </w:rPr>
        <w:t>いつ東京海上</w:t>
      </w:r>
      <w:r w:rsidRPr="00BB65BB">
        <w:t>HD</w:t>
      </w:r>
      <w:r w:rsidRPr="00BB65BB">
        <w:rPr>
          <w:rFonts w:hint="eastAsia"/>
        </w:rPr>
        <w:t>は</w:t>
      </w:r>
      <w:r w:rsidRPr="00BB65BB">
        <w:t>M&amp;A</w:t>
      </w:r>
      <w:r w:rsidRPr="00BB65BB">
        <w:rPr>
          <w:rFonts w:hint="eastAsia"/>
        </w:rPr>
        <w:t>戦略に積極的に取り組むようになったのか、それはなぜか。</w:t>
      </w:r>
    </w:p>
    <w:p w14:paraId="1E8C407D" w14:textId="499A77A9" w:rsidR="00BB65BB" w:rsidRPr="00BB65BB" w:rsidRDefault="00D76F10" w:rsidP="00D76F10">
      <w:pPr>
        <w:numPr>
          <w:ilvl w:val="2"/>
          <w:numId w:val="1"/>
        </w:numPr>
      </w:pPr>
      <w:r>
        <w:rPr>
          <w:rFonts w:hint="eastAsia"/>
        </w:rPr>
        <w:t>2</w:t>
      </w:r>
      <w:r>
        <w:t>000</w:t>
      </w:r>
      <w:r>
        <w:rPr>
          <w:rFonts w:hint="eastAsia"/>
        </w:rPr>
        <w:t>年前後に急速に進んだ金融自由化に対する選択</w:t>
      </w:r>
    </w:p>
    <w:p w14:paraId="48D66171" w14:textId="144CBF33" w:rsidR="00BB65BB" w:rsidRDefault="00BB65BB" w:rsidP="00BB65BB">
      <w:pPr>
        <w:numPr>
          <w:ilvl w:val="1"/>
          <w:numId w:val="1"/>
        </w:numPr>
      </w:pPr>
      <w:r w:rsidRPr="00BB65BB">
        <w:rPr>
          <w:rFonts w:hint="eastAsia"/>
        </w:rPr>
        <w:t>上記の理由やタイミングに照らして、どのようなターゲットに絞っているか。それはなぜか。</w:t>
      </w:r>
    </w:p>
    <w:p w14:paraId="5F4FBF0C" w14:textId="7732DAF1" w:rsidR="00D76F10" w:rsidRDefault="00D76F10" w:rsidP="00D76F10">
      <w:pPr>
        <w:numPr>
          <w:ilvl w:val="2"/>
          <w:numId w:val="1"/>
        </w:numPr>
      </w:pPr>
      <w:r>
        <w:rPr>
          <w:rFonts w:hint="eastAsia"/>
        </w:rPr>
        <w:t>成長市場、収益、成長性</w:t>
      </w:r>
    </w:p>
    <w:p w14:paraId="4069E76B" w14:textId="6101D065" w:rsidR="00BB65BB" w:rsidRDefault="00D76F10" w:rsidP="00D76F10">
      <w:pPr>
        <w:numPr>
          <w:ilvl w:val="3"/>
          <w:numId w:val="1"/>
        </w:numPr>
      </w:pPr>
      <w:r>
        <w:rPr>
          <w:rFonts w:hint="eastAsia"/>
        </w:rPr>
        <w:t>キルン：</w:t>
      </w:r>
      <w:r w:rsidR="00914A17">
        <w:rPr>
          <w:rFonts w:hint="eastAsia"/>
        </w:rPr>
        <w:t>顧客基盤獲得、ロイズへの参加、</w:t>
      </w:r>
      <w:r w:rsidR="004A74C1">
        <w:rPr>
          <w:rFonts w:hint="eastAsia"/>
        </w:rPr>
        <w:t>（</w:t>
      </w:r>
      <w:r w:rsidR="00914A17">
        <w:rPr>
          <w:rFonts w:hint="eastAsia"/>
        </w:rPr>
        <w:t>再保険による</w:t>
      </w:r>
      <w:r w:rsidR="004A74C1">
        <w:rPr>
          <w:rFonts w:hint="eastAsia"/>
        </w:rPr>
        <w:t>）</w:t>
      </w:r>
      <w:r w:rsidR="00914A17">
        <w:rPr>
          <w:rFonts w:hint="eastAsia"/>
        </w:rPr>
        <w:t>情報収集の機会、</w:t>
      </w:r>
      <w:r>
        <w:rPr>
          <w:rFonts w:hint="eastAsia"/>
        </w:rPr>
        <w:t>世界の損保へ第一歩</w:t>
      </w:r>
    </w:p>
    <w:p w14:paraId="1723189F" w14:textId="45ED7040" w:rsidR="00BB65BB" w:rsidRDefault="00D76F10" w:rsidP="00D76F10">
      <w:pPr>
        <w:numPr>
          <w:ilvl w:val="3"/>
          <w:numId w:val="1"/>
        </w:numPr>
      </w:pPr>
      <w:r>
        <w:rPr>
          <w:rFonts w:hint="eastAsia"/>
        </w:rPr>
        <w:t>フィラデルフィア：最大市場米国への足がかり、スペシャリティ</w:t>
      </w:r>
    </w:p>
    <w:p w14:paraId="40F829A2" w14:textId="551EFD62" w:rsidR="00BB65BB" w:rsidRDefault="00D76F10" w:rsidP="00D76F10">
      <w:pPr>
        <w:numPr>
          <w:ilvl w:val="3"/>
          <w:numId w:val="1"/>
        </w:numPr>
      </w:pPr>
      <w:r>
        <w:rPr>
          <w:rFonts w:hint="eastAsia"/>
        </w:rPr>
        <w:lastRenderedPageBreak/>
        <w:t>スペシャリティ強化、分散</w:t>
      </w:r>
    </w:p>
    <w:p w14:paraId="42BDB2EC" w14:textId="7DDE06EE" w:rsidR="00BB65BB" w:rsidRPr="00BB65BB" w:rsidRDefault="00752799" w:rsidP="00752799">
      <w:pPr>
        <w:numPr>
          <w:ilvl w:val="2"/>
          <w:numId w:val="1"/>
        </w:numPr>
      </w:pPr>
      <w:r>
        <w:rPr>
          <w:rFonts w:hint="eastAsia"/>
        </w:rPr>
        <w:t>ブランド・規模から入り、スペシャリティ・ボルトオンへ（ブランド、ポートフォリオによるシナジー実現）</w:t>
      </w:r>
    </w:p>
    <w:p w14:paraId="63650477" w14:textId="77777777" w:rsidR="00BB65BB" w:rsidRPr="00BB65BB" w:rsidRDefault="00BB65BB" w:rsidP="00BB65BB">
      <w:pPr>
        <w:numPr>
          <w:ilvl w:val="0"/>
          <w:numId w:val="1"/>
        </w:numPr>
      </w:pPr>
      <w:r w:rsidRPr="00BB65BB">
        <w:rPr>
          <w:rFonts w:hint="eastAsia"/>
        </w:rPr>
        <w:t>東京海上</w:t>
      </w:r>
      <w:r w:rsidRPr="00BB65BB">
        <w:t>HD</w:t>
      </w:r>
      <w:r w:rsidRPr="00BB65BB">
        <w:rPr>
          <w:rFonts w:hint="eastAsia"/>
        </w:rPr>
        <w:t>の</w:t>
      </w:r>
      <w:r w:rsidRPr="00BB65BB">
        <w:t>M&amp;A</w:t>
      </w:r>
      <w:r w:rsidRPr="00BB65BB">
        <w:rPr>
          <w:rFonts w:hint="eastAsia"/>
        </w:rPr>
        <w:t>戦略の特徴</w:t>
      </w:r>
    </w:p>
    <w:p w14:paraId="35692FF5" w14:textId="3D770D9C" w:rsidR="00BB65BB" w:rsidRDefault="00BB65BB" w:rsidP="00BB65BB">
      <w:pPr>
        <w:numPr>
          <w:ilvl w:val="1"/>
          <w:numId w:val="1"/>
        </w:numPr>
      </w:pPr>
      <w:r w:rsidRPr="00BB65BB">
        <w:t>2007</w:t>
      </w:r>
      <w:r w:rsidRPr="00BB65BB">
        <w:rPr>
          <w:rFonts w:hint="eastAsia"/>
        </w:rPr>
        <w:t>年以降に実施した大型</w:t>
      </w:r>
      <w:r w:rsidRPr="00BB65BB">
        <w:t>M&amp;A</w:t>
      </w:r>
      <w:r w:rsidRPr="00BB65BB">
        <w:rPr>
          <w:rFonts w:hint="eastAsia"/>
        </w:rPr>
        <w:t>（</w:t>
      </w:r>
      <w:r w:rsidRPr="00BB65BB">
        <w:t>Kiln, Philadelphia</w:t>
      </w:r>
      <w:r w:rsidRPr="00BB65BB">
        <w:rPr>
          <w:rFonts w:hint="eastAsia"/>
        </w:rPr>
        <w:t>、</w:t>
      </w:r>
      <w:r w:rsidRPr="00BB65BB">
        <w:t>Delphi</w:t>
      </w:r>
      <w:r w:rsidRPr="00BB65BB">
        <w:rPr>
          <w:rFonts w:hint="eastAsia"/>
        </w:rPr>
        <w:t>、</w:t>
      </w:r>
      <w:r w:rsidRPr="00BB65BB">
        <w:t>HCC</w:t>
      </w:r>
      <w:r w:rsidRPr="00BB65BB">
        <w:rPr>
          <w:rFonts w:hint="eastAsia"/>
        </w:rPr>
        <w:t>、</w:t>
      </w:r>
      <w:r w:rsidRPr="00BB65BB">
        <w:t>Pure</w:t>
      </w:r>
      <w:r w:rsidRPr="00BB65BB">
        <w:rPr>
          <w:rFonts w:hint="eastAsia"/>
        </w:rPr>
        <w:t>）の共通点・異同点</w:t>
      </w:r>
    </w:p>
    <w:p w14:paraId="1B51F1CA" w14:textId="604FD81A" w:rsidR="00BB65BB" w:rsidRDefault="001277D2" w:rsidP="001277D2">
      <w:pPr>
        <w:numPr>
          <w:ilvl w:val="2"/>
          <w:numId w:val="1"/>
        </w:numPr>
      </w:pPr>
      <w:r>
        <w:rPr>
          <w:rFonts w:hint="eastAsia"/>
        </w:rPr>
        <w:t>伝統あり、カルチャーフィット</w:t>
      </w:r>
    </w:p>
    <w:p w14:paraId="722236FB" w14:textId="77C7FED4" w:rsidR="00BB65BB" w:rsidRPr="00BB65BB" w:rsidRDefault="001277D2" w:rsidP="001277D2">
      <w:pPr>
        <w:numPr>
          <w:ilvl w:val="2"/>
          <w:numId w:val="1"/>
        </w:numPr>
      </w:pPr>
      <w:r>
        <w:rPr>
          <w:rFonts w:hint="eastAsia"/>
        </w:rPr>
        <w:t>顧客、商品の多様性（重複小さい）</w:t>
      </w:r>
    </w:p>
    <w:p w14:paraId="1F61A4F8" w14:textId="639B0D31" w:rsidR="00BB65BB" w:rsidRDefault="00BB65BB" w:rsidP="00BB65BB">
      <w:pPr>
        <w:numPr>
          <w:ilvl w:val="1"/>
          <w:numId w:val="1"/>
        </w:numPr>
      </w:pPr>
      <w:r w:rsidRPr="00BB65BB">
        <w:rPr>
          <w:rFonts w:hint="eastAsia"/>
        </w:rPr>
        <w:t>良質の企業を買収するには高いプレミアムを支払う必要がある。一方、業績が低迷している企業を買収すると、後の経営改革に苦労する可能性がある。どちらを選択すべきであったか。</w:t>
      </w:r>
    </w:p>
    <w:p w14:paraId="4E55F98D" w14:textId="53536D83" w:rsidR="001277D2" w:rsidRDefault="00BB65BB" w:rsidP="00BB65BB">
      <w:pPr>
        <w:numPr>
          <w:ilvl w:val="1"/>
          <w:numId w:val="1"/>
        </w:numPr>
      </w:pPr>
      <w:r w:rsidRPr="00BB65BB">
        <w:rPr>
          <w:rFonts w:hint="eastAsia"/>
        </w:rPr>
        <w:t>どのような事業内容・規模の対象を</w:t>
      </w:r>
      <w:r w:rsidRPr="00BB65BB">
        <w:t>M&amp;A</w:t>
      </w:r>
      <w:r w:rsidRPr="00BB65BB">
        <w:rPr>
          <w:rFonts w:hint="eastAsia"/>
        </w:rPr>
        <w:t>ターゲットとすべきか。</w:t>
      </w:r>
    </w:p>
    <w:p w14:paraId="556AE659" w14:textId="7F7D98F4" w:rsidR="00BB65BB" w:rsidRDefault="001277D2" w:rsidP="001277D2">
      <w:pPr>
        <w:numPr>
          <w:ilvl w:val="2"/>
          <w:numId w:val="1"/>
        </w:numPr>
      </w:pPr>
      <w:r>
        <w:rPr>
          <w:rFonts w:hint="eastAsia"/>
        </w:rPr>
        <w:t>自身の強み（ビジネスモデル）を踏まえたアプローチ　＋</w:t>
      </w:r>
    </w:p>
    <w:p w14:paraId="00028534" w14:textId="3994748F" w:rsidR="00BB65BB" w:rsidRPr="00BB65BB" w:rsidRDefault="001277D2" w:rsidP="001277D2">
      <w:pPr>
        <w:numPr>
          <w:ilvl w:val="2"/>
          <w:numId w:val="1"/>
        </w:numPr>
      </w:pPr>
      <w:r>
        <w:rPr>
          <w:rFonts w:hint="eastAsia"/>
        </w:rPr>
        <w:t>“良質”の企業</w:t>
      </w:r>
    </w:p>
    <w:p w14:paraId="7BBCDDD3" w14:textId="0F485756" w:rsidR="00BB65BB" w:rsidRDefault="00BB65BB" w:rsidP="00BB65BB">
      <w:pPr>
        <w:numPr>
          <w:ilvl w:val="1"/>
          <w:numId w:val="1"/>
        </w:numPr>
      </w:pPr>
      <w:r w:rsidRPr="00BB65BB">
        <w:rPr>
          <w:rFonts w:hint="eastAsia"/>
        </w:rPr>
        <w:t>トップラインシナジー、ボトムラインシナジーに対する考え方は？</w:t>
      </w:r>
    </w:p>
    <w:p w14:paraId="35179FCF" w14:textId="70417351" w:rsidR="00752799" w:rsidRDefault="00752799" w:rsidP="001277D2">
      <w:pPr>
        <w:numPr>
          <w:ilvl w:val="2"/>
          <w:numId w:val="1"/>
        </w:numPr>
      </w:pPr>
      <w:r>
        <w:rPr>
          <w:rFonts w:hint="eastAsia"/>
        </w:rPr>
        <w:t>トップラインシナジーはあり</w:t>
      </w:r>
    </w:p>
    <w:p w14:paraId="6B133779" w14:textId="2E3151B0" w:rsidR="00BB65BB" w:rsidRPr="00BB65BB" w:rsidRDefault="00752799" w:rsidP="001277D2">
      <w:pPr>
        <w:numPr>
          <w:ilvl w:val="2"/>
          <w:numId w:val="1"/>
        </w:numPr>
      </w:pPr>
      <w:r>
        <w:rPr>
          <w:rFonts w:hint="eastAsia"/>
        </w:rPr>
        <w:t>（ボトムラインシナジーとは）</w:t>
      </w:r>
    </w:p>
    <w:p w14:paraId="1796E1DD" w14:textId="42883055" w:rsidR="00BB65BB" w:rsidRDefault="00BB65BB" w:rsidP="00BB65BB">
      <w:pPr>
        <w:numPr>
          <w:ilvl w:val="1"/>
          <w:numId w:val="1"/>
        </w:numPr>
      </w:pPr>
      <w:r w:rsidRPr="00BB65BB">
        <w:rPr>
          <w:rFonts w:hint="eastAsia"/>
        </w:rPr>
        <w:t>手元資金を活用すべきか、外部調達か。外部調達の場合、</w:t>
      </w:r>
      <w:r w:rsidRPr="00BB65BB">
        <w:t>Debts</w:t>
      </w:r>
      <w:r w:rsidRPr="00BB65BB">
        <w:rPr>
          <w:rFonts w:hint="eastAsia"/>
        </w:rPr>
        <w:t>か</w:t>
      </w:r>
      <w:r w:rsidRPr="00BB65BB">
        <w:t>Equity</w:t>
      </w:r>
      <w:r w:rsidRPr="00BB65BB">
        <w:rPr>
          <w:rFonts w:hint="eastAsia"/>
        </w:rPr>
        <w:t>か。</w:t>
      </w:r>
    </w:p>
    <w:p w14:paraId="7DB314BA" w14:textId="784BC949" w:rsidR="00BB65BB" w:rsidRPr="00BB65BB" w:rsidRDefault="001277D2" w:rsidP="001277D2">
      <w:pPr>
        <w:numPr>
          <w:ilvl w:val="2"/>
          <w:numId w:val="1"/>
        </w:numPr>
      </w:pPr>
      <w:r>
        <w:rPr>
          <w:rFonts w:hint="eastAsia"/>
        </w:rPr>
        <w:t>手元資金＋外部調達（Dept、資本性劣後債）</w:t>
      </w:r>
    </w:p>
    <w:p w14:paraId="1263A671" w14:textId="0E75EADC" w:rsidR="00BB65BB" w:rsidRDefault="00BB65BB" w:rsidP="00BB65BB">
      <w:pPr>
        <w:numPr>
          <w:ilvl w:val="1"/>
          <w:numId w:val="1"/>
        </w:numPr>
      </w:pPr>
      <w:r w:rsidRPr="00BB65BB">
        <w:t>PMI</w:t>
      </w:r>
      <w:r w:rsidRPr="00BB65BB">
        <w:rPr>
          <w:rFonts w:hint="eastAsia"/>
        </w:rPr>
        <w:t>をいかに実践すべきか。</w:t>
      </w:r>
    </w:p>
    <w:p w14:paraId="791AB26D" w14:textId="19F1E6BC" w:rsidR="00BB65BB" w:rsidRDefault="001277D2" w:rsidP="001277D2">
      <w:pPr>
        <w:numPr>
          <w:ilvl w:val="2"/>
          <w:numId w:val="1"/>
        </w:numPr>
      </w:pPr>
      <w:r>
        <w:rPr>
          <w:rFonts w:hint="eastAsia"/>
        </w:rPr>
        <w:t>カルチャーフィットを基本としたアプローチ（どのように選択しているのか）</w:t>
      </w:r>
    </w:p>
    <w:p w14:paraId="702D7AF5" w14:textId="79B54A5F" w:rsidR="00BB65BB" w:rsidRDefault="00752799" w:rsidP="001277D2">
      <w:pPr>
        <w:numPr>
          <w:ilvl w:val="2"/>
          <w:numId w:val="1"/>
        </w:numPr>
      </w:pPr>
      <w:r>
        <w:rPr>
          <w:rFonts w:hint="eastAsia"/>
        </w:rPr>
        <w:t>報酬設定</w:t>
      </w:r>
    </w:p>
    <w:p w14:paraId="3AF3278F" w14:textId="207DF130" w:rsidR="00BB65BB" w:rsidRPr="00BB65BB" w:rsidRDefault="00752799" w:rsidP="001277D2">
      <w:pPr>
        <w:numPr>
          <w:ilvl w:val="2"/>
          <w:numId w:val="1"/>
        </w:numPr>
      </w:pPr>
      <w:r>
        <w:rPr>
          <w:rFonts w:hint="eastAsia"/>
        </w:rPr>
        <w:t>適切な権限移譲</w:t>
      </w:r>
    </w:p>
    <w:p w14:paraId="13F4F7A6" w14:textId="1A9A9150" w:rsidR="00BB65BB" w:rsidRPr="00752799" w:rsidRDefault="00BB65BB" w:rsidP="00BB65BB">
      <w:pPr>
        <w:numPr>
          <w:ilvl w:val="0"/>
          <w:numId w:val="1"/>
        </w:numPr>
        <w:rPr>
          <w:color w:val="A6A6A6" w:themeColor="background1" w:themeShade="A6"/>
        </w:rPr>
      </w:pPr>
      <w:r w:rsidRPr="00BB65BB">
        <w:t>1</w:t>
      </w:r>
      <w:r w:rsidRPr="00BB65BB">
        <w:rPr>
          <w:rFonts w:hint="eastAsia"/>
        </w:rPr>
        <w:t>～</w:t>
      </w:r>
      <w:r w:rsidRPr="00BB65BB">
        <w:t>3</w:t>
      </w:r>
      <w:r w:rsidRPr="00BB65BB">
        <w:rPr>
          <w:rFonts w:hint="eastAsia"/>
        </w:rPr>
        <w:t>を整理したうえで、東京海上</w:t>
      </w:r>
      <w:r w:rsidRPr="00BB65BB">
        <w:t>HD</w:t>
      </w:r>
      <w:r w:rsidRPr="00BB65BB">
        <w:rPr>
          <w:rFonts w:hint="eastAsia"/>
        </w:rPr>
        <w:t>が</w:t>
      </w:r>
      <w:r w:rsidRPr="00BB65BB">
        <w:t>M&amp;A</w:t>
      </w:r>
      <w:r w:rsidRPr="00BB65BB">
        <w:rPr>
          <w:rFonts w:hint="eastAsia"/>
        </w:rPr>
        <w:t>を効果的に活用し、事業ポートフォリオの変革に成功した理由を検討してください。</w:t>
      </w:r>
      <w:r w:rsidRPr="00BB65BB">
        <w:rPr>
          <w:rFonts w:hint="eastAsia"/>
          <w:color w:val="A6A6A6" w:themeColor="background1" w:themeShade="A6"/>
        </w:rPr>
        <w:t>またそこから御社が何を学ぶことができるかについておまとめください。</w:t>
      </w:r>
    </w:p>
    <w:p w14:paraId="36C5597E" w14:textId="6BCB9BE7" w:rsidR="00BB65BB" w:rsidRDefault="00752799" w:rsidP="00752799">
      <w:pPr>
        <w:numPr>
          <w:ilvl w:val="1"/>
          <w:numId w:val="1"/>
        </w:numPr>
      </w:pPr>
      <w:r>
        <w:rPr>
          <w:rFonts w:hint="eastAsia"/>
        </w:rPr>
        <w:t>長期のストーリーを持った中</w:t>
      </w:r>
      <w:r w:rsidR="00914A17">
        <w:rPr>
          <w:rFonts w:hint="eastAsia"/>
        </w:rPr>
        <w:t>長</w:t>
      </w:r>
      <w:r>
        <w:rPr>
          <w:rFonts w:hint="eastAsia"/>
        </w:rPr>
        <w:t>期的な</w:t>
      </w:r>
      <w:r w:rsidR="00914A17">
        <w:rPr>
          <w:rFonts w:hint="eastAsia"/>
        </w:rPr>
        <w:t>アプローチを一貫的して実施</w:t>
      </w:r>
    </w:p>
    <w:p w14:paraId="7D28E3C0" w14:textId="77777777" w:rsidR="002D5AED" w:rsidRDefault="002D5AED" w:rsidP="002D5AED">
      <w:pPr>
        <w:ind w:left="1440"/>
      </w:pPr>
    </w:p>
    <w:p w14:paraId="3BAB3FD5" w14:textId="749E0259" w:rsidR="002D5AED" w:rsidRDefault="002D5AED" w:rsidP="002D5AED">
      <w:pPr>
        <w:numPr>
          <w:ilvl w:val="0"/>
          <w:numId w:val="1"/>
        </w:numPr>
      </w:pPr>
      <w:r>
        <w:rPr>
          <w:rFonts w:hint="eastAsia"/>
        </w:rPr>
        <w:t>質問事項</w:t>
      </w:r>
    </w:p>
    <w:p w14:paraId="0192D801" w14:textId="77777777" w:rsidR="002D5AED" w:rsidRPr="002D5AED" w:rsidRDefault="002D5AED" w:rsidP="002D5AED">
      <w:pPr>
        <w:numPr>
          <w:ilvl w:val="1"/>
          <w:numId w:val="1"/>
        </w:numPr>
      </w:pPr>
      <w:r w:rsidRPr="002D5AED">
        <w:rPr>
          <w:rFonts w:hint="eastAsia"/>
        </w:rPr>
        <w:t>どこまでの順番のストーリーが</w:t>
      </w:r>
      <w:r w:rsidRPr="002D5AED">
        <w:t>2000</w:t>
      </w:r>
      <w:r w:rsidRPr="002D5AED">
        <w:rPr>
          <w:rFonts w:hint="eastAsia"/>
        </w:rPr>
        <w:t>年ころにできていたのか</w:t>
      </w:r>
    </w:p>
    <w:p w14:paraId="79755CED" w14:textId="77777777" w:rsidR="002D5AED" w:rsidRPr="002D5AED" w:rsidRDefault="002D5AED" w:rsidP="002D5AED">
      <w:pPr>
        <w:numPr>
          <w:ilvl w:val="1"/>
          <w:numId w:val="1"/>
        </w:numPr>
      </w:pPr>
      <w:r w:rsidRPr="002D5AED">
        <w:rPr>
          <w:rFonts w:hint="eastAsia"/>
        </w:rPr>
        <w:t>企業文化、カルチャーフィットをどのようにうまくつないでいるのか（ガバナンスの構築を含む）</w:t>
      </w:r>
    </w:p>
    <w:p w14:paraId="267AE3A4" w14:textId="77777777" w:rsidR="002D5AED" w:rsidRPr="002D5AED" w:rsidRDefault="002D5AED" w:rsidP="002D5AED">
      <w:pPr>
        <w:numPr>
          <w:ilvl w:val="1"/>
          <w:numId w:val="1"/>
        </w:numPr>
      </w:pPr>
      <w:r w:rsidRPr="002D5AED">
        <w:rPr>
          <w:rFonts w:hint="eastAsia"/>
        </w:rPr>
        <w:t>役員報酬制度の時間軸における調整などはあるのか。世代が変わった時にどうするか（サクセッションプラン）</w:t>
      </w:r>
    </w:p>
    <w:p w14:paraId="537BCD0A" w14:textId="77777777" w:rsidR="002D5AED" w:rsidRPr="002D5AED" w:rsidRDefault="002D5AED" w:rsidP="002D5AED">
      <w:pPr>
        <w:numPr>
          <w:ilvl w:val="1"/>
          <w:numId w:val="1"/>
        </w:numPr>
      </w:pPr>
      <w:r w:rsidRPr="002D5AED">
        <w:rPr>
          <w:rFonts w:hint="eastAsia"/>
        </w:rPr>
        <w:t>プレミアム以上の</w:t>
      </w:r>
      <w:r w:rsidRPr="002D5AED">
        <w:t>M&amp;A</w:t>
      </w:r>
      <w:r w:rsidRPr="002D5AED">
        <w:rPr>
          <w:rFonts w:hint="eastAsia"/>
        </w:rPr>
        <w:t>ができたのはなぜか</w:t>
      </w:r>
    </w:p>
    <w:p w14:paraId="4F75D6E4" w14:textId="77777777" w:rsidR="002D5AED" w:rsidRPr="002D5AED" w:rsidRDefault="002D5AED" w:rsidP="002D5AED">
      <w:pPr>
        <w:numPr>
          <w:ilvl w:val="1"/>
          <w:numId w:val="1"/>
        </w:numPr>
      </w:pPr>
      <w:r w:rsidRPr="002D5AED">
        <w:rPr>
          <w:rFonts w:hint="eastAsia"/>
        </w:rPr>
        <w:lastRenderedPageBreak/>
        <w:t>プレミアムの基準があるか</w:t>
      </w:r>
    </w:p>
    <w:p w14:paraId="76C1D5FF" w14:textId="77777777" w:rsidR="002D5AED" w:rsidRPr="002D5AED" w:rsidRDefault="002D5AED" w:rsidP="002D5AED">
      <w:pPr>
        <w:numPr>
          <w:ilvl w:val="1"/>
          <w:numId w:val="1"/>
        </w:numPr>
      </w:pPr>
      <w:r w:rsidRPr="002D5AED">
        <w:t>100%</w:t>
      </w:r>
      <w:r w:rsidRPr="002D5AED">
        <w:rPr>
          <w:rFonts w:hint="eastAsia"/>
        </w:rPr>
        <w:t>ではない投資（純投資）を選択しなかった理由</w:t>
      </w:r>
    </w:p>
    <w:p w14:paraId="053B8A6E" w14:textId="77777777" w:rsidR="002D5AED" w:rsidRPr="002D5AED" w:rsidRDefault="002D5AED" w:rsidP="002D5AED">
      <w:pPr>
        <w:numPr>
          <w:ilvl w:val="1"/>
          <w:numId w:val="1"/>
        </w:numPr>
      </w:pPr>
      <w:r w:rsidRPr="002D5AED">
        <w:rPr>
          <w:rFonts w:hint="eastAsia"/>
        </w:rPr>
        <w:t>潜在的なリスクの評価方法（</w:t>
      </w:r>
      <w:r w:rsidRPr="002D5AED">
        <w:t>M&amp;A</w:t>
      </w:r>
      <w:r w:rsidRPr="002D5AED">
        <w:rPr>
          <w:rFonts w:hint="eastAsia"/>
        </w:rPr>
        <w:t>プロセスにおいて）（保証・表明契約の活用？）</w:t>
      </w:r>
    </w:p>
    <w:p w14:paraId="583A5BED" w14:textId="77777777" w:rsidR="002D5AED" w:rsidRPr="002D5AED" w:rsidRDefault="002D5AED" w:rsidP="002D5AED">
      <w:pPr>
        <w:numPr>
          <w:ilvl w:val="1"/>
          <w:numId w:val="1"/>
        </w:numPr>
      </w:pPr>
      <w:r w:rsidRPr="002D5AED">
        <w:rPr>
          <w:rFonts w:hint="eastAsia"/>
        </w:rPr>
        <w:t>資金調達の選択方法（手元資金だけでいけたのではないか）</w:t>
      </w:r>
    </w:p>
    <w:p w14:paraId="51E57541" w14:textId="77777777" w:rsidR="002D5AED" w:rsidRPr="002D5AED" w:rsidRDefault="002D5AED" w:rsidP="002D5AED">
      <w:pPr>
        <w:numPr>
          <w:ilvl w:val="1"/>
          <w:numId w:val="1"/>
        </w:numPr>
      </w:pPr>
      <w:r w:rsidRPr="002D5AED">
        <w:rPr>
          <w:rFonts w:hint="eastAsia"/>
        </w:rPr>
        <w:t>自社株の活用、使用方法</w:t>
      </w:r>
    </w:p>
    <w:p w14:paraId="6CCD09B7" w14:textId="7C4A942C" w:rsidR="002D5AED" w:rsidRDefault="002D5AED" w:rsidP="00D546B8">
      <w:pPr>
        <w:numPr>
          <w:ilvl w:val="1"/>
          <w:numId w:val="1"/>
        </w:numPr>
        <w:rPr>
          <w:rFonts w:hint="eastAsia"/>
        </w:rPr>
      </w:pPr>
      <w:r w:rsidRPr="002D5AED">
        <w:rPr>
          <w:rFonts w:hint="eastAsia"/>
        </w:rPr>
        <w:t>中長期的な視点による取り組み、人材育成ができた理由</w:t>
      </w:r>
    </w:p>
    <w:p w14:paraId="4056ECFB" w14:textId="77777777" w:rsidR="00BB65BB" w:rsidRPr="00BB65BB" w:rsidRDefault="00BB65BB" w:rsidP="002D5AED"/>
    <w:p w14:paraId="7BA72F72" w14:textId="5314105B" w:rsidR="00BB65BB" w:rsidRDefault="00BB65BB"/>
    <w:p w14:paraId="43C46387" w14:textId="5A387918" w:rsidR="00914A17" w:rsidRPr="00914A17" w:rsidRDefault="00914A17" w:rsidP="00914A17">
      <w:pPr>
        <w:jc w:val="right"/>
      </w:pPr>
      <w:r>
        <w:rPr>
          <w:rFonts w:hint="eastAsia"/>
        </w:rPr>
        <w:t>以上</w:t>
      </w:r>
    </w:p>
    <w:sectPr w:rsidR="00914A17" w:rsidRPr="00914A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C8033" w14:textId="77777777" w:rsidR="00D546B8" w:rsidRDefault="00D546B8" w:rsidP="00D546B8">
      <w:r>
        <w:separator/>
      </w:r>
    </w:p>
  </w:endnote>
  <w:endnote w:type="continuationSeparator" w:id="0">
    <w:p w14:paraId="3C122379" w14:textId="77777777" w:rsidR="00D546B8" w:rsidRDefault="00D546B8" w:rsidP="00D5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F12F7" w14:textId="77777777" w:rsidR="00D546B8" w:rsidRDefault="00D546B8" w:rsidP="00D546B8">
      <w:r>
        <w:separator/>
      </w:r>
    </w:p>
  </w:footnote>
  <w:footnote w:type="continuationSeparator" w:id="0">
    <w:p w14:paraId="55A8A648" w14:textId="77777777" w:rsidR="00D546B8" w:rsidRDefault="00D546B8" w:rsidP="00D54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6361F"/>
    <w:multiLevelType w:val="hybridMultilevel"/>
    <w:tmpl w:val="F8DC9E84"/>
    <w:lvl w:ilvl="0" w:tplc="C9902DD4">
      <w:start w:val="1"/>
      <w:numFmt w:val="bullet"/>
      <w:lvlText w:val="•"/>
      <w:lvlJc w:val="left"/>
      <w:pPr>
        <w:tabs>
          <w:tab w:val="num" w:pos="720"/>
        </w:tabs>
        <w:ind w:left="720" w:hanging="360"/>
      </w:pPr>
      <w:rPr>
        <w:rFonts w:ascii="Arial" w:hAnsi="Arial" w:hint="default"/>
      </w:rPr>
    </w:lvl>
    <w:lvl w:ilvl="1" w:tplc="71680CB6" w:tentative="1">
      <w:start w:val="1"/>
      <w:numFmt w:val="bullet"/>
      <w:lvlText w:val="•"/>
      <w:lvlJc w:val="left"/>
      <w:pPr>
        <w:tabs>
          <w:tab w:val="num" w:pos="1440"/>
        </w:tabs>
        <w:ind w:left="1440" w:hanging="360"/>
      </w:pPr>
      <w:rPr>
        <w:rFonts w:ascii="Arial" w:hAnsi="Arial" w:hint="default"/>
      </w:rPr>
    </w:lvl>
    <w:lvl w:ilvl="2" w:tplc="E6D4E1D0" w:tentative="1">
      <w:start w:val="1"/>
      <w:numFmt w:val="bullet"/>
      <w:lvlText w:val="•"/>
      <w:lvlJc w:val="left"/>
      <w:pPr>
        <w:tabs>
          <w:tab w:val="num" w:pos="2160"/>
        </w:tabs>
        <w:ind w:left="2160" w:hanging="360"/>
      </w:pPr>
      <w:rPr>
        <w:rFonts w:ascii="Arial" w:hAnsi="Arial" w:hint="default"/>
      </w:rPr>
    </w:lvl>
    <w:lvl w:ilvl="3" w:tplc="7F0A2CBC" w:tentative="1">
      <w:start w:val="1"/>
      <w:numFmt w:val="bullet"/>
      <w:lvlText w:val="•"/>
      <w:lvlJc w:val="left"/>
      <w:pPr>
        <w:tabs>
          <w:tab w:val="num" w:pos="2880"/>
        </w:tabs>
        <w:ind w:left="2880" w:hanging="360"/>
      </w:pPr>
      <w:rPr>
        <w:rFonts w:ascii="Arial" w:hAnsi="Arial" w:hint="default"/>
      </w:rPr>
    </w:lvl>
    <w:lvl w:ilvl="4" w:tplc="9F3E7D5A" w:tentative="1">
      <w:start w:val="1"/>
      <w:numFmt w:val="bullet"/>
      <w:lvlText w:val="•"/>
      <w:lvlJc w:val="left"/>
      <w:pPr>
        <w:tabs>
          <w:tab w:val="num" w:pos="3600"/>
        </w:tabs>
        <w:ind w:left="3600" w:hanging="360"/>
      </w:pPr>
      <w:rPr>
        <w:rFonts w:ascii="Arial" w:hAnsi="Arial" w:hint="default"/>
      </w:rPr>
    </w:lvl>
    <w:lvl w:ilvl="5" w:tplc="4FD2796A" w:tentative="1">
      <w:start w:val="1"/>
      <w:numFmt w:val="bullet"/>
      <w:lvlText w:val="•"/>
      <w:lvlJc w:val="left"/>
      <w:pPr>
        <w:tabs>
          <w:tab w:val="num" w:pos="4320"/>
        </w:tabs>
        <w:ind w:left="4320" w:hanging="360"/>
      </w:pPr>
      <w:rPr>
        <w:rFonts w:ascii="Arial" w:hAnsi="Arial" w:hint="default"/>
      </w:rPr>
    </w:lvl>
    <w:lvl w:ilvl="6" w:tplc="37643FA2" w:tentative="1">
      <w:start w:val="1"/>
      <w:numFmt w:val="bullet"/>
      <w:lvlText w:val="•"/>
      <w:lvlJc w:val="left"/>
      <w:pPr>
        <w:tabs>
          <w:tab w:val="num" w:pos="5040"/>
        </w:tabs>
        <w:ind w:left="5040" w:hanging="360"/>
      </w:pPr>
      <w:rPr>
        <w:rFonts w:ascii="Arial" w:hAnsi="Arial" w:hint="default"/>
      </w:rPr>
    </w:lvl>
    <w:lvl w:ilvl="7" w:tplc="BC6AE812" w:tentative="1">
      <w:start w:val="1"/>
      <w:numFmt w:val="bullet"/>
      <w:lvlText w:val="•"/>
      <w:lvlJc w:val="left"/>
      <w:pPr>
        <w:tabs>
          <w:tab w:val="num" w:pos="5760"/>
        </w:tabs>
        <w:ind w:left="5760" w:hanging="360"/>
      </w:pPr>
      <w:rPr>
        <w:rFonts w:ascii="Arial" w:hAnsi="Arial" w:hint="default"/>
      </w:rPr>
    </w:lvl>
    <w:lvl w:ilvl="8" w:tplc="C08C68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3EE1E0C"/>
    <w:multiLevelType w:val="hybridMultilevel"/>
    <w:tmpl w:val="B770C64E"/>
    <w:lvl w:ilvl="0" w:tplc="2694579A">
      <w:start w:val="1"/>
      <w:numFmt w:val="decimal"/>
      <w:lvlText w:val="%1."/>
      <w:lvlJc w:val="left"/>
      <w:pPr>
        <w:tabs>
          <w:tab w:val="num" w:pos="720"/>
        </w:tabs>
        <w:ind w:left="720" w:hanging="360"/>
      </w:pPr>
    </w:lvl>
    <w:lvl w:ilvl="1" w:tplc="2A08C80C">
      <w:numFmt w:val="bullet"/>
      <w:lvlText w:val=""/>
      <w:lvlJc w:val="left"/>
      <w:pPr>
        <w:tabs>
          <w:tab w:val="num" w:pos="1440"/>
        </w:tabs>
        <w:ind w:left="1440" w:hanging="360"/>
      </w:pPr>
      <w:rPr>
        <w:rFonts w:ascii="Wingdings" w:hAnsi="Wingdings" w:hint="default"/>
      </w:rPr>
    </w:lvl>
    <w:lvl w:ilvl="2" w:tplc="1778A0B8">
      <w:start w:val="1"/>
      <w:numFmt w:val="decimal"/>
      <w:lvlText w:val="%3."/>
      <w:lvlJc w:val="left"/>
      <w:pPr>
        <w:tabs>
          <w:tab w:val="num" w:pos="2160"/>
        </w:tabs>
        <w:ind w:left="2160" w:hanging="360"/>
      </w:pPr>
    </w:lvl>
    <w:lvl w:ilvl="3" w:tplc="3D507814">
      <w:start w:val="1"/>
      <w:numFmt w:val="decimal"/>
      <w:lvlText w:val="%4."/>
      <w:lvlJc w:val="left"/>
      <w:pPr>
        <w:tabs>
          <w:tab w:val="num" w:pos="2880"/>
        </w:tabs>
        <w:ind w:left="2880" w:hanging="360"/>
      </w:pPr>
    </w:lvl>
    <w:lvl w:ilvl="4" w:tplc="3D7A0622" w:tentative="1">
      <w:start w:val="1"/>
      <w:numFmt w:val="decimal"/>
      <w:lvlText w:val="%5."/>
      <w:lvlJc w:val="left"/>
      <w:pPr>
        <w:tabs>
          <w:tab w:val="num" w:pos="3600"/>
        </w:tabs>
        <w:ind w:left="3600" w:hanging="360"/>
      </w:pPr>
    </w:lvl>
    <w:lvl w:ilvl="5" w:tplc="B21C6206" w:tentative="1">
      <w:start w:val="1"/>
      <w:numFmt w:val="decimal"/>
      <w:lvlText w:val="%6."/>
      <w:lvlJc w:val="left"/>
      <w:pPr>
        <w:tabs>
          <w:tab w:val="num" w:pos="4320"/>
        </w:tabs>
        <w:ind w:left="4320" w:hanging="360"/>
      </w:pPr>
    </w:lvl>
    <w:lvl w:ilvl="6" w:tplc="EAAC59CC" w:tentative="1">
      <w:start w:val="1"/>
      <w:numFmt w:val="decimal"/>
      <w:lvlText w:val="%7."/>
      <w:lvlJc w:val="left"/>
      <w:pPr>
        <w:tabs>
          <w:tab w:val="num" w:pos="5040"/>
        </w:tabs>
        <w:ind w:left="5040" w:hanging="360"/>
      </w:pPr>
    </w:lvl>
    <w:lvl w:ilvl="7" w:tplc="3CC6CD50" w:tentative="1">
      <w:start w:val="1"/>
      <w:numFmt w:val="decimal"/>
      <w:lvlText w:val="%8."/>
      <w:lvlJc w:val="left"/>
      <w:pPr>
        <w:tabs>
          <w:tab w:val="num" w:pos="5760"/>
        </w:tabs>
        <w:ind w:left="5760" w:hanging="360"/>
      </w:pPr>
    </w:lvl>
    <w:lvl w:ilvl="8" w:tplc="F048BBE4"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BB"/>
    <w:rsid w:val="001277D2"/>
    <w:rsid w:val="002D5AED"/>
    <w:rsid w:val="004A74C1"/>
    <w:rsid w:val="00752799"/>
    <w:rsid w:val="00914A17"/>
    <w:rsid w:val="00BB65BB"/>
    <w:rsid w:val="00D546B8"/>
    <w:rsid w:val="00D76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9C1BA"/>
  <w15:chartTrackingRefBased/>
  <w15:docId w15:val="{E4403D9C-8F09-4DF5-93F3-AB6DF4F9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4A17"/>
  </w:style>
  <w:style w:type="character" w:customStyle="1" w:styleId="a4">
    <w:name w:val="日付 (文字)"/>
    <w:basedOn w:val="a0"/>
    <w:link w:val="a3"/>
    <w:uiPriority w:val="99"/>
    <w:semiHidden/>
    <w:rsid w:val="00914A17"/>
  </w:style>
  <w:style w:type="paragraph" w:styleId="a5">
    <w:name w:val="header"/>
    <w:basedOn w:val="a"/>
    <w:link w:val="a6"/>
    <w:uiPriority w:val="99"/>
    <w:unhideWhenUsed/>
    <w:rsid w:val="00D546B8"/>
    <w:pPr>
      <w:tabs>
        <w:tab w:val="center" w:pos="4252"/>
        <w:tab w:val="right" w:pos="8504"/>
      </w:tabs>
      <w:snapToGrid w:val="0"/>
    </w:pPr>
  </w:style>
  <w:style w:type="character" w:customStyle="1" w:styleId="a6">
    <w:name w:val="ヘッダー (文字)"/>
    <w:basedOn w:val="a0"/>
    <w:link w:val="a5"/>
    <w:uiPriority w:val="99"/>
    <w:rsid w:val="00D546B8"/>
  </w:style>
  <w:style w:type="paragraph" w:styleId="a7">
    <w:name w:val="footer"/>
    <w:basedOn w:val="a"/>
    <w:link w:val="a8"/>
    <w:uiPriority w:val="99"/>
    <w:unhideWhenUsed/>
    <w:rsid w:val="00D546B8"/>
    <w:pPr>
      <w:tabs>
        <w:tab w:val="center" w:pos="4252"/>
        <w:tab w:val="right" w:pos="8504"/>
      </w:tabs>
      <w:snapToGrid w:val="0"/>
    </w:pPr>
  </w:style>
  <w:style w:type="character" w:customStyle="1" w:styleId="a8">
    <w:name w:val="フッター (文字)"/>
    <w:basedOn w:val="a0"/>
    <w:link w:val="a7"/>
    <w:uiPriority w:val="99"/>
    <w:rsid w:val="00D5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7522">
      <w:bodyDiv w:val="1"/>
      <w:marLeft w:val="0"/>
      <w:marRight w:val="0"/>
      <w:marTop w:val="0"/>
      <w:marBottom w:val="0"/>
      <w:divBdr>
        <w:top w:val="none" w:sz="0" w:space="0" w:color="auto"/>
        <w:left w:val="none" w:sz="0" w:space="0" w:color="auto"/>
        <w:bottom w:val="none" w:sz="0" w:space="0" w:color="auto"/>
        <w:right w:val="none" w:sz="0" w:space="0" w:color="auto"/>
      </w:divBdr>
      <w:divsChild>
        <w:div w:id="1727293593">
          <w:marLeft w:val="288"/>
          <w:marRight w:val="0"/>
          <w:marTop w:val="0"/>
          <w:marBottom w:val="0"/>
          <w:divBdr>
            <w:top w:val="none" w:sz="0" w:space="0" w:color="auto"/>
            <w:left w:val="none" w:sz="0" w:space="0" w:color="auto"/>
            <w:bottom w:val="none" w:sz="0" w:space="0" w:color="auto"/>
            <w:right w:val="none" w:sz="0" w:space="0" w:color="auto"/>
          </w:divBdr>
        </w:div>
        <w:div w:id="1047801449">
          <w:marLeft w:val="1138"/>
          <w:marRight w:val="0"/>
          <w:marTop w:val="0"/>
          <w:marBottom w:val="0"/>
          <w:divBdr>
            <w:top w:val="none" w:sz="0" w:space="0" w:color="auto"/>
            <w:left w:val="none" w:sz="0" w:space="0" w:color="auto"/>
            <w:bottom w:val="none" w:sz="0" w:space="0" w:color="auto"/>
            <w:right w:val="none" w:sz="0" w:space="0" w:color="auto"/>
          </w:divBdr>
        </w:div>
        <w:div w:id="214465078">
          <w:marLeft w:val="1138"/>
          <w:marRight w:val="0"/>
          <w:marTop w:val="0"/>
          <w:marBottom w:val="0"/>
          <w:divBdr>
            <w:top w:val="none" w:sz="0" w:space="0" w:color="auto"/>
            <w:left w:val="none" w:sz="0" w:space="0" w:color="auto"/>
            <w:bottom w:val="none" w:sz="0" w:space="0" w:color="auto"/>
            <w:right w:val="none" w:sz="0" w:space="0" w:color="auto"/>
          </w:divBdr>
        </w:div>
        <w:div w:id="262226062">
          <w:marLeft w:val="1138"/>
          <w:marRight w:val="0"/>
          <w:marTop w:val="0"/>
          <w:marBottom w:val="0"/>
          <w:divBdr>
            <w:top w:val="none" w:sz="0" w:space="0" w:color="auto"/>
            <w:left w:val="none" w:sz="0" w:space="0" w:color="auto"/>
            <w:bottom w:val="none" w:sz="0" w:space="0" w:color="auto"/>
            <w:right w:val="none" w:sz="0" w:space="0" w:color="auto"/>
          </w:divBdr>
        </w:div>
        <w:div w:id="270823023">
          <w:marLeft w:val="288"/>
          <w:marRight w:val="0"/>
          <w:marTop w:val="0"/>
          <w:marBottom w:val="0"/>
          <w:divBdr>
            <w:top w:val="none" w:sz="0" w:space="0" w:color="auto"/>
            <w:left w:val="none" w:sz="0" w:space="0" w:color="auto"/>
            <w:bottom w:val="none" w:sz="0" w:space="0" w:color="auto"/>
            <w:right w:val="none" w:sz="0" w:space="0" w:color="auto"/>
          </w:divBdr>
        </w:div>
        <w:div w:id="1057700127">
          <w:marLeft w:val="1138"/>
          <w:marRight w:val="0"/>
          <w:marTop w:val="0"/>
          <w:marBottom w:val="0"/>
          <w:divBdr>
            <w:top w:val="none" w:sz="0" w:space="0" w:color="auto"/>
            <w:left w:val="none" w:sz="0" w:space="0" w:color="auto"/>
            <w:bottom w:val="none" w:sz="0" w:space="0" w:color="auto"/>
            <w:right w:val="none" w:sz="0" w:space="0" w:color="auto"/>
          </w:divBdr>
        </w:div>
        <w:div w:id="1704669649">
          <w:marLeft w:val="1138"/>
          <w:marRight w:val="0"/>
          <w:marTop w:val="0"/>
          <w:marBottom w:val="0"/>
          <w:divBdr>
            <w:top w:val="none" w:sz="0" w:space="0" w:color="auto"/>
            <w:left w:val="none" w:sz="0" w:space="0" w:color="auto"/>
            <w:bottom w:val="none" w:sz="0" w:space="0" w:color="auto"/>
            <w:right w:val="none" w:sz="0" w:space="0" w:color="auto"/>
          </w:divBdr>
        </w:div>
        <w:div w:id="1769614207">
          <w:marLeft w:val="1138"/>
          <w:marRight w:val="0"/>
          <w:marTop w:val="0"/>
          <w:marBottom w:val="0"/>
          <w:divBdr>
            <w:top w:val="none" w:sz="0" w:space="0" w:color="auto"/>
            <w:left w:val="none" w:sz="0" w:space="0" w:color="auto"/>
            <w:bottom w:val="none" w:sz="0" w:space="0" w:color="auto"/>
            <w:right w:val="none" w:sz="0" w:space="0" w:color="auto"/>
          </w:divBdr>
        </w:div>
        <w:div w:id="2072730639">
          <w:marLeft w:val="288"/>
          <w:marRight w:val="0"/>
          <w:marTop w:val="0"/>
          <w:marBottom w:val="0"/>
          <w:divBdr>
            <w:top w:val="none" w:sz="0" w:space="0" w:color="auto"/>
            <w:left w:val="none" w:sz="0" w:space="0" w:color="auto"/>
            <w:bottom w:val="none" w:sz="0" w:space="0" w:color="auto"/>
            <w:right w:val="none" w:sz="0" w:space="0" w:color="auto"/>
          </w:divBdr>
        </w:div>
        <w:div w:id="174418849">
          <w:marLeft w:val="1138"/>
          <w:marRight w:val="0"/>
          <w:marTop w:val="0"/>
          <w:marBottom w:val="0"/>
          <w:divBdr>
            <w:top w:val="none" w:sz="0" w:space="0" w:color="auto"/>
            <w:left w:val="none" w:sz="0" w:space="0" w:color="auto"/>
            <w:bottom w:val="none" w:sz="0" w:space="0" w:color="auto"/>
            <w:right w:val="none" w:sz="0" w:space="0" w:color="auto"/>
          </w:divBdr>
        </w:div>
        <w:div w:id="1097755416">
          <w:marLeft w:val="1138"/>
          <w:marRight w:val="0"/>
          <w:marTop w:val="0"/>
          <w:marBottom w:val="0"/>
          <w:divBdr>
            <w:top w:val="none" w:sz="0" w:space="0" w:color="auto"/>
            <w:left w:val="none" w:sz="0" w:space="0" w:color="auto"/>
            <w:bottom w:val="none" w:sz="0" w:space="0" w:color="auto"/>
            <w:right w:val="none" w:sz="0" w:space="0" w:color="auto"/>
          </w:divBdr>
        </w:div>
        <w:div w:id="367067154">
          <w:marLeft w:val="1138"/>
          <w:marRight w:val="0"/>
          <w:marTop w:val="0"/>
          <w:marBottom w:val="0"/>
          <w:divBdr>
            <w:top w:val="none" w:sz="0" w:space="0" w:color="auto"/>
            <w:left w:val="none" w:sz="0" w:space="0" w:color="auto"/>
            <w:bottom w:val="none" w:sz="0" w:space="0" w:color="auto"/>
            <w:right w:val="none" w:sz="0" w:space="0" w:color="auto"/>
          </w:divBdr>
        </w:div>
        <w:div w:id="1501432141">
          <w:marLeft w:val="1138"/>
          <w:marRight w:val="0"/>
          <w:marTop w:val="0"/>
          <w:marBottom w:val="0"/>
          <w:divBdr>
            <w:top w:val="none" w:sz="0" w:space="0" w:color="auto"/>
            <w:left w:val="none" w:sz="0" w:space="0" w:color="auto"/>
            <w:bottom w:val="none" w:sz="0" w:space="0" w:color="auto"/>
            <w:right w:val="none" w:sz="0" w:space="0" w:color="auto"/>
          </w:divBdr>
        </w:div>
        <w:div w:id="1276793374">
          <w:marLeft w:val="1138"/>
          <w:marRight w:val="0"/>
          <w:marTop w:val="0"/>
          <w:marBottom w:val="0"/>
          <w:divBdr>
            <w:top w:val="none" w:sz="0" w:space="0" w:color="auto"/>
            <w:left w:val="none" w:sz="0" w:space="0" w:color="auto"/>
            <w:bottom w:val="none" w:sz="0" w:space="0" w:color="auto"/>
            <w:right w:val="none" w:sz="0" w:space="0" w:color="auto"/>
          </w:divBdr>
        </w:div>
        <w:div w:id="1638681514">
          <w:marLeft w:val="1138"/>
          <w:marRight w:val="0"/>
          <w:marTop w:val="0"/>
          <w:marBottom w:val="0"/>
          <w:divBdr>
            <w:top w:val="none" w:sz="0" w:space="0" w:color="auto"/>
            <w:left w:val="none" w:sz="0" w:space="0" w:color="auto"/>
            <w:bottom w:val="none" w:sz="0" w:space="0" w:color="auto"/>
            <w:right w:val="none" w:sz="0" w:space="0" w:color="auto"/>
          </w:divBdr>
        </w:div>
        <w:div w:id="976108388">
          <w:marLeft w:val="288"/>
          <w:marRight w:val="0"/>
          <w:marTop w:val="0"/>
          <w:marBottom w:val="0"/>
          <w:divBdr>
            <w:top w:val="none" w:sz="0" w:space="0" w:color="auto"/>
            <w:left w:val="none" w:sz="0" w:space="0" w:color="auto"/>
            <w:bottom w:val="none" w:sz="0" w:space="0" w:color="auto"/>
            <w:right w:val="none" w:sz="0" w:space="0" w:color="auto"/>
          </w:divBdr>
        </w:div>
      </w:divsChild>
    </w:div>
    <w:div w:id="515080120">
      <w:bodyDiv w:val="1"/>
      <w:marLeft w:val="0"/>
      <w:marRight w:val="0"/>
      <w:marTop w:val="0"/>
      <w:marBottom w:val="0"/>
      <w:divBdr>
        <w:top w:val="none" w:sz="0" w:space="0" w:color="auto"/>
        <w:left w:val="none" w:sz="0" w:space="0" w:color="auto"/>
        <w:bottom w:val="none" w:sz="0" w:space="0" w:color="auto"/>
        <w:right w:val="none" w:sz="0" w:space="0" w:color="auto"/>
      </w:divBdr>
      <w:divsChild>
        <w:div w:id="512113799">
          <w:marLeft w:val="360"/>
          <w:marRight w:val="0"/>
          <w:marTop w:val="200"/>
          <w:marBottom w:val="0"/>
          <w:divBdr>
            <w:top w:val="none" w:sz="0" w:space="0" w:color="auto"/>
            <w:left w:val="none" w:sz="0" w:space="0" w:color="auto"/>
            <w:bottom w:val="none" w:sz="0" w:space="0" w:color="auto"/>
            <w:right w:val="none" w:sz="0" w:space="0" w:color="auto"/>
          </w:divBdr>
        </w:div>
        <w:div w:id="310789639">
          <w:marLeft w:val="360"/>
          <w:marRight w:val="0"/>
          <w:marTop w:val="200"/>
          <w:marBottom w:val="0"/>
          <w:divBdr>
            <w:top w:val="none" w:sz="0" w:space="0" w:color="auto"/>
            <w:left w:val="none" w:sz="0" w:space="0" w:color="auto"/>
            <w:bottom w:val="none" w:sz="0" w:space="0" w:color="auto"/>
            <w:right w:val="none" w:sz="0" w:space="0" w:color="auto"/>
          </w:divBdr>
        </w:div>
        <w:div w:id="817919796">
          <w:marLeft w:val="360"/>
          <w:marRight w:val="0"/>
          <w:marTop w:val="200"/>
          <w:marBottom w:val="0"/>
          <w:divBdr>
            <w:top w:val="none" w:sz="0" w:space="0" w:color="auto"/>
            <w:left w:val="none" w:sz="0" w:space="0" w:color="auto"/>
            <w:bottom w:val="none" w:sz="0" w:space="0" w:color="auto"/>
            <w:right w:val="none" w:sz="0" w:space="0" w:color="auto"/>
          </w:divBdr>
        </w:div>
        <w:div w:id="1369530305">
          <w:marLeft w:val="360"/>
          <w:marRight w:val="0"/>
          <w:marTop w:val="200"/>
          <w:marBottom w:val="0"/>
          <w:divBdr>
            <w:top w:val="none" w:sz="0" w:space="0" w:color="auto"/>
            <w:left w:val="none" w:sz="0" w:space="0" w:color="auto"/>
            <w:bottom w:val="none" w:sz="0" w:space="0" w:color="auto"/>
            <w:right w:val="none" w:sz="0" w:space="0" w:color="auto"/>
          </w:divBdr>
        </w:div>
        <w:div w:id="377750501">
          <w:marLeft w:val="360"/>
          <w:marRight w:val="0"/>
          <w:marTop w:val="200"/>
          <w:marBottom w:val="0"/>
          <w:divBdr>
            <w:top w:val="none" w:sz="0" w:space="0" w:color="auto"/>
            <w:left w:val="none" w:sz="0" w:space="0" w:color="auto"/>
            <w:bottom w:val="none" w:sz="0" w:space="0" w:color="auto"/>
            <w:right w:val="none" w:sz="0" w:space="0" w:color="auto"/>
          </w:divBdr>
        </w:div>
        <w:div w:id="1678272012">
          <w:marLeft w:val="360"/>
          <w:marRight w:val="0"/>
          <w:marTop w:val="200"/>
          <w:marBottom w:val="0"/>
          <w:divBdr>
            <w:top w:val="none" w:sz="0" w:space="0" w:color="auto"/>
            <w:left w:val="none" w:sz="0" w:space="0" w:color="auto"/>
            <w:bottom w:val="none" w:sz="0" w:space="0" w:color="auto"/>
            <w:right w:val="none" w:sz="0" w:space="0" w:color="auto"/>
          </w:divBdr>
        </w:div>
        <w:div w:id="947467378">
          <w:marLeft w:val="360"/>
          <w:marRight w:val="0"/>
          <w:marTop w:val="200"/>
          <w:marBottom w:val="0"/>
          <w:divBdr>
            <w:top w:val="none" w:sz="0" w:space="0" w:color="auto"/>
            <w:left w:val="none" w:sz="0" w:space="0" w:color="auto"/>
            <w:bottom w:val="none" w:sz="0" w:space="0" w:color="auto"/>
            <w:right w:val="none" w:sz="0" w:space="0" w:color="auto"/>
          </w:divBdr>
        </w:div>
        <w:div w:id="1179538133">
          <w:marLeft w:val="360"/>
          <w:marRight w:val="0"/>
          <w:marTop w:val="200"/>
          <w:marBottom w:val="0"/>
          <w:divBdr>
            <w:top w:val="none" w:sz="0" w:space="0" w:color="auto"/>
            <w:left w:val="none" w:sz="0" w:space="0" w:color="auto"/>
            <w:bottom w:val="none" w:sz="0" w:space="0" w:color="auto"/>
            <w:right w:val="none" w:sz="0" w:space="0" w:color="auto"/>
          </w:divBdr>
        </w:div>
        <w:div w:id="922494901">
          <w:marLeft w:val="360"/>
          <w:marRight w:val="0"/>
          <w:marTop w:val="200"/>
          <w:marBottom w:val="0"/>
          <w:divBdr>
            <w:top w:val="none" w:sz="0" w:space="0" w:color="auto"/>
            <w:left w:val="none" w:sz="0" w:space="0" w:color="auto"/>
            <w:bottom w:val="none" w:sz="0" w:space="0" w:color="auto"/>
            <w:right w:val="none" w:sz="0" w:space="0" w:color="auto"/>
          </w:divBdr>
        </w:div>
        <w:div w:id="17443351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Visitor</cp:lastModifiedBy>
  <cp:revision>3</cp:revision>
  <dcterms:created xsi:type="dcterms:W3CDTF">2020-12-19T02:52:00Z</dcterms:created>
  <dcterms:modified xsi:type="dcterms:W3CDTF">2020-12-19T02:54:00Z</dcterms:modified>
</cp:coreProperties>
</file>